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365"/>
        <w:gridCol w:w="708"/>
        <w:gridCol w:w="1560"/>
        <w:gridCol w:w="2400"/>
      </w:tblGrid>
      <w:tr w:rsidR="002E6ADD" w:rsidRPr="00AB384D" w14:paraId="5B7FB999" w14:textId="77777777" w:rsidTr="002E6ADD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1B59F1E4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64A16D53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BFD85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3B698E2A" w14:textId="3AB8DF21" w:rsidR="002E6ADD" w:rsidRPr="00AB384D" w:rsidRDefault="002E6ADD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2E6ADD" w:rsidRPr="00AB384D" w14:paraId="7AF249BA" w14:textId="77777777" w:rsidTr="002E6ADD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4E000257" w14:textId="77777777" w:rsidR="002E6ADD" w:rsidRPr="00AB384D" w:rsidRDefault="002E6ADD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66A2B0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097C2709" w14:textId="6154C3E3" w:rsidR="002E6ADD" w:rsidRPr="00AB384D" w:rsidRDefault="002E6ADD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2E6ADD" w:rsidRPr="00AB384D" w14:paraId="473866F9" w14:textId="77777777" w:rsidTr="002E6ADD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3C034D05" w14:textId="77777777" w:rsidR="002E6ADD" w:rsidRPr="00AB384D" w:rsidRDefault="002E6ADD" w:rsidP="002E6ADD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AE9ABF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37ABC" w14:textId="668C3315" w:rsidR="002E6ADD" w:rsidRPr="002E6ADD" w:rsidRDefault="002E6ADD" w:rsidP="002E6A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2E6AD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Divieto di rimozione dei </w:t>
            </w:r>
            <w:proofErr w:type="spellStart"/>
            <w:r w:rsidR="00B1373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materiale</w:t>
            </w:r>
            <w:r w:rsidRPr="002E6AD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organic</w:t>
            </w:r>
            <w:r w:rsidR="00B1373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o</w:t>
            </w:r>
            <w:proofErr w:type="spellEnd"/>
            <w:r w:rsidRPr="002E6AD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 e </w:t>
            </w:r>
            <w:r w:rsidR="00B1373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rifiuti </w:t>
            </w:r>
            <w:r w:rsidRPr="002E6AD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inorganici dall'arenile attraverso l'utilizzo di mezzi meccanici</w:t>
            </w:r>
          </w:p>
        </w:tc>
      </w:tr>
      <w:tr w:rsidR="002E6ADD" w:rsidRPr="00AB384D" w14:paraId="055FFFA3" w14:textId="77777777" w:rsidTr="00C361DF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59D32EDB" w14:textId="77777777" w:rsidR="002E6ADD" w:rsidRPr="00AB384D" w:rsidRDefault="002E6ADD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B95D94" w14:textId="77777777" w:rsidR="002E6ADD" w:rsidRPr="00AB384D" w:rsidRDefault="002E6ADD" w:rsidP="00AB4A16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0347BE54" w14:textId="77777777" w:rsidR="002E6ADD" w:rsidRPr="00AB384D" w:rsidRDefault="002E6ADD" w:rsidP="00AB4A16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5D3B88" w14:textId="77777777" w:rsidR="002E6ADD" w:rsidRPr="00AB384D" w:rsidRDefault="002E6AD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7DC1D840" w14:textId="77777777" w:rsidR="002E6ADD" w:rsidRPr="00AB384D" w:rsidRDefault="002E6AD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20C29" w14:textId="77777777" w:rsidR="002E6ADD" w:rsidRPr="00AB384D" w:rsidRDefault="002E6AD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4DE92C94" w14:textId="77777777" w:rsidR="002E6ADD" w:rsidRPr="00AB384D" w:rsidRDefault="002E6AD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2E6ADD" w:rsidRPr="00AB384D" w14:paraId="05A0F97F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DEC9D6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1E45E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01D2CAE3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0EBE06B0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2B134577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1D5CA134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2E6ADD" w:rsidRPr="00AB384D" w14:paraId="42EF5037" w14:textId="77777777" w:rsidTr="00AB4A16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B903A0F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0FF86A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9BF5D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2E6ADD" w:rsidRPr="00B13737" w14:paraId="379A19D2" w14:textId="77777777" w:rsidTr="00AB4A16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E52A84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CF04D" w14:textId="53E3975A" w:rsidR="002E6ADD" w:rsidRPr="00AB384D" w:rsidRDefault="002E6ADD" w:rsidP="00AB4A16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E6AD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1210</w:t>
            </w: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, 1240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BBEF8" w14:textId="6BD7D20D" w:rsidR="002E6ADD" w:rsidRPr="00AB384D" w:rsidRDefault="002E6ADD" w:rsidP="002E6ADD">
            <w:pPr>
              <w:spacing w:after="0" w:line="240" w:lineRule="auto"/>
              <w:jc w:val="both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</w:pPr>
            <w:r w:rsidRPr="002E6AD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>Charadrius alexandrinus</w:t>
            </w:r>
            <w:r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 xml:space="preserve">, </w:t>
            </w:r>
            <w:r w:rsidRPr="002E6AD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>Larus melanocephalus</w:t>
            </w:r>
            <w:r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 xml:space="preserve">, </w:t>
            </w:r>
            <w:r w:rsidRPr="002E6AD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>Phalacrocorax carbo sinensis</w:t>
            </w:r>
            <w:r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 xml:space="preserve">, </w:t>
            </w:r>
            <w:r w:rsidRPr="002E6AD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>Podiceps nigricollis</w:t>
            </w:r>
          </w:p>
        </w:tc>
      </w:tr>
      <w:tr w:rsidR="002E6ADD" w:rsidRPr="00AB384D" w14:paraId="63219041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DDD4C15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BC7D59" w14:textId="54617B52" w:rsidR="002E6ADD" w:rsidRPr="00AB384D" w:rsidRDefault="002E6ADD" w:rsidP="00AB4A1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 xml:space="preserve">PF04, PF05, </w:t>
            </w:r>
            <w:r w:rsidRPr="002E6AD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PK05</w:t>
            </w:r>
          </w:p>
        </w:tc>
      </w:tr>
      <w:tr w:rsidR="002E6ADD" w:rsidRPr="00AB384D" w14:paraId="4C4A5154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9A7EE0C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64136E" w14:textId="6A85AE44" w:rsidR="002E6ADD" w:rsidRPr="00AB384D" w:rsidRDefault="002E6ADD" w:rsidP="002E6AD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  <w:r w:rsidR="00913F1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/siti</w:t>
            </w:r>
          </w:p>
        </w:tc>
      </w:tr>
      <w:tr w:rsidR="002E6ADD" w:rsidRPr="00AB384D" w14:paraId="608C26E5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1EF2B5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ACF052" w14:textId="31CAFF9C" w:rsidR="002E6ADD" w:rsidRPr="00AB384D" w:rsidRDefault="00036F69" w:rsidP="002E6AD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="001E189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 operazioni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pulizia delle spiagge con mezzi meccanici, </w:t>
            </w:r>
            <w:r w:rsidR="001E189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connesse con la gestione degli stabilimenti balneari, provocano una pressione </w:t>
            </w:r>
            <w:r w:rsidR="00DB1A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per gli</w:t>
            </w:r>
            <w:r w:rsidR="001E189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habitat costieri e per le specie che vi svernano.</w:t>
            </w:r>
          </w:p>
        </w:tc>
      </w:tr>
      <w:tr w:rsidR="002E6ADD" w:rsidRPr="00AB384D" w14:paraId="22FC9CB2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BBD065D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AA228F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Grado di conservazione degli habitat e delle specie target</w:t>
            </w:r>
          </w:p>
        </w:tc>
      </w:tr>
      <w:tr w:rsidR="002E6ADD" w:rsidRPr="00AB384D" w14:paraId="54BAE6C2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141CD9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395E9" w14:textId="14BF3D64" w:rsidR="002E6ADD" w:rsidRPr="00AB384D" w:rsidRDefault="00825082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Riduzione del disturbo </w:t>
            </w:r>
            <w:r w:rsidR="00036F6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sugli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habitat</w:t>
            </w:r>
            <w:r w:rsidR="00C361D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036F6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sulle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specie</w:t>
            </w:r>
            <w:r w:rsidR="00036F6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target</w:t>
            </w:r>
          </w:p>
        </w:tc>
      </w:tr>
      <w:tr w:rsidR="002E6ADD" w:rsidRPr="00AB384D" w14:paraId="7FDAFD82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337586" w14:textId="77777777" w:rsidR="002E6ADD" w:rsidRPr="00AB384D" w:rsidRDefault="002E6ADD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05174" w14:textId="7F0AA9CD" w:rsidR="002E6ADD" w:rsidRPr="00C14400" w:rsidRDefault="007B5134" w:rsidP="008A304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È 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vietata la rimozione </w:t>
            </w:r>
            <w:r w:rsidR="00B137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sia 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B137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B137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materiale organico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che</w:t>
            </w:r>
            <w:r w:rsidR="00B137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B137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rifiuti 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inorganici dagli arenili </w:t>
            </w:r>
            <w:r w:rsidR="00036F69"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mediante l’utilizzo di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mezzi meccanici </w:t>
            </w:r>
            <w:r w:rsidR="00036F69"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 motore, 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 fine di ridurre il disturbo sugli habitat costieri e sulla fauna </w:t>
            </w:r>
            <w:r w:rsidR="00913F14"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ad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essi </w:t>
            </w:r>
            <w:r w:rsidR="00913F14"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legata</w:t>
            </w:r>
            <w:r w:rsidRPr="008A30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41C363DD" w14:textId="57C10898" w:rsidR="008A304B" w:rsidRPr="00B13737" w:rsidRDefault="008A304B" w:rsidP="008A304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3737">
              <w:rPr>
                <w:rFonts w:ascii="Arial" w:hAnsi="Arial" w:cs="Arial"/>
                <w:sz w:val="18"/>
                <w:szCs w:val="18"/>
              </w:rPr>
              <w:t>La pulizia dai rifiuti</w:t>
            </w:r>
            <w:r w:rsidRPr="00B137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1400">
              <w:rPr>
                <w:rFonts w:ascii="Arial" w:hAnsi="Arial" w:cs="Arial"/>
                <w:sz w:val="18"/>
                <w:szCs w:val="18"/>
              </w:rPr>
              <w:t xml:space="preserve">inorganici </w:t>
            </w:r>
            <w:r w:rsidRPr="00B13737">
              <w:rPr>
                <w:rFonts w:ascii="Arial" w:hAnsi="Arial" w:cs="Arial"/>
                <w:sz w:val="18"/>
                <w:szCs w:val="18"/>
              </w:rPr>
              <w:t>di tutti</w:t>
            </w:r>
            <w:r w:rsidRPr="00B137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737">
              <w:rPr>
                <w:rFonts w:ascii="Arial" w:hAnsi="Arial" w:cs="Arial"/>
                <w:sz w:val="18"/>
                <w:szCs w:val="18"/>
              </w:rPr>
              <w:t xml:space="preserve">gli arenili deve essere svolta, oltre </w:t>
            </w:r>
            <w:r w:rsidR="00B13737">
              <w:rPr>
                <w:rFonts w:ascii="Arial" w:hAnsi="Arial" w:cs="Arial"/>
                <w:sz w:val="18"/>
                <w:szCs w:val="18"/>
              </w:rPr>
              <w:t xml:space="preserve">che </w:t>
            </w:r>
            <w:r w:rsidRPr="00B13737">
              <w:rPr>
                <w:rFonts w:ascii="Arial" w:hAnsi="Arial" w:cs="Arial"/>
                <w:sz w:val="18"/>
                <w:szCs w:val="18"/>
              </w:rPr>
              <w:t>nel periodo balneare, anche nel restante periodo dell’anno con particolare attenzione dopo le mareggiate al fine di rimuovere i rifiuti spiaggiati.</w:t>
            </w:r>
          </w:p>
        </w:tc>
      </w:tr>
      <w:tr w:rsidR="002E6ADD" w:rsidRPr="00AB384D" w14:paraId="70E6CDE5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3C5778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F45829" w14:textId="2BED7FF4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</w:t>
            </w:r>
            <w:r w:rsidR="0082508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gli habitat e dell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 specie target</w:t>
            </w:r>
          </w:p>
        </w:tc>
      </w:tr>
      <w:tr w:rsidR="002E6ADD" w:rsidRPr="00AB384D" w14:paraId="22F30EA3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75C273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1A425" w14:textId="11649778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Proprietari </w:t>
            </w:r>
            <w:r w:rsidR="0082508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stabilimenti balneari</w:t>
            </w:r>
          </w:p>
        </w:tc>
      </w:tr>
      <w:tr w:rsidR="002E6ADD" w:rsidRPr="00AB384D" w14:paraId="6899CC4C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90D8EA4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2618FE" w14:textId="14076A60" w:rsidR="002E6ADD" w:rsidRPr="00AB384D" w:rsidRDefault="000966FE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966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gestore, Comuni, Capitaneria di Porto, gestori stabilimenti balneari, fruitori delle spiagge, Carabinieri Forestale</w:t>
            </w:r>
            <w:r w:rsidRPr="000966FE" w:rsidDel="000966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2E6ADD" w:rsidRPr="00AB384D" w14:paraId="7F1C4440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F3F5B8B" w14:textId="77777777" w:rsidR="002E6ADD" w:rsidRPr="00036F69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36F69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A7DED3" w14:textId="573D97D0" w:rsidR="002E6ADD" w:rsidRPr="00036F69" w:rsidRDefault="00825082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36F6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2E6ADD" w:rsidRPr="00AB384D" w14:paraId="3FED7418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735856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0DCA5" w14:textId="77777777" w:rsidR="002E6ADD" w:rsidRPr="00AB384D" w:rsidRDefault="002E6ADD" w:rsidP="00AB4A16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Vigente all’approvazione del Piano di gestione</w:t>
            </w:r>
          </w:p>
        </w:tc>
      </w:tr>
      <w:tr w:rsidR="002E6ADD" w:rsidRPr="00AB384D" w14:paraId="50FC1AE0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38B8182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F401F6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=</w:t>
            </w:r>
          </w:p>
        </w:tc>
      </w:tr>
      <w:tr w:rsidR="002E6ADD" w:rsidRPr="00AB384D" w14:paraId="2419EAD5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9FDB6A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B15BC1" w14:textId="77777777" w:rsidR="002E6ADD" w:rsidRPr="00AB384D" w:rsidRDefault="002E6ADD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7942C2DA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ADD"/>
    <w:rsid w:val="00036F69"/>
    <w:rsid w:val="000966FE"/>
    <w:rsid w:val="001E1895"/>
    <w:rsid w:val="002764C6"/>
    <w:rsid w:val="002E6ADD"/>
    <w:rsid w:val="005B1400"/>
    <w:rsid w:val="00726991"/>
    <w:rsid w:val="007B5134"/>
    <w:rsid w:val="00825082"/>
    <w:rsid w:val="008A304B"/>
    <w:rsid w:val="00913F14"/>
    <w:rsid w:val="009477F4"/>
    <w:rsid w:val="00A47DFC"/>
    <w:rsid w:val="00B13737"/>
    <w:rsid w:val="00B16EF6"/>
    <w:rsid w:val="00B5762E"/>
    <w:rsid w:val="00C361DF"/>
    <w:rsid w:val="00C63E0F"/>
    <w:rsid w:val="00DB1ACD"/>
    <w:rsid w:val="00DC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0C2D"/>
  <w15:chartTrackingRefBased/>
  <w15:docId w15:val="{EB7DF43F-B698-4A45-BA09-3615518E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6ADD"/>
  </w:style>
  <w:style w:type="paragraph" w:styleId="Titolo1">
    <w:name w:val="heading 1"/>
    <w:basedOn w:val="Normale"/>
    <w:next w:val="Normale"/>
    <w:link w:val="Titolo1Carattere"/>
    <w:uiPriority w:val="9"/>
    <w:qFormat/>
    <w:rsid w:val="002E6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E6A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6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E6A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E6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E6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E6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E6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6A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E6A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6AD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E6AD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E6AD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E6AD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E6AD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E6AD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E6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E6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E6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E6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E6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E6AD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E6AD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E6AD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E6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E6AD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E6ADD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913F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19</cp:revision>
  <dcterms:created xsi:type="dcterms:W3CDTF">2024-03-14T10:58:00Z</dcterms:created>
  <dcterms:modified xsi:type="dcterms:W3CDTF">2024-07-29T09:52:00Z</dcterms:modified>
</cp:coreProperties>
</file>